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/>
      </w:tblPr>
      <w:tblGrid>
        <w:gridCol w:w="1195"/>
        <w:gridCol w:w="9380"/>
      </w:tblGrid>
      <w:tr w:rsidR="00575D4A" w:rsidTr="008914C1">
        <w:tc>
          <w:tcPr>
            <w:tcW w:w="10575" w:type="dxa"/>
            <w:gridSpan w:val="2"/>
            <w:shd w:val="clear" w:color="auto" w:fill="DBE5F1" w:themeFill="accent1" w:themeFillTint="33"/>
          </w:tcPr>
          <w:p w:rsidR="00575D4A" w:rsidRPr="008914C1" w:rsidRDefault="00575D4A" w:rsidP="00DD5874">
            <w:pPr>
              <w:pStyle w:val="parajustCyan"/>
              <w:jc w:val="center"/>
              <w:rPr>
                <w:rStyle w:val="Titart"/>
                <w:rFonts w:ascii="Comic Sans MS" w:hAnsi="Comic Sans MS" w:cs="Futura Lt BT"/>
                <w:b/>
                <w:i/>
                <w:color w:val="C00000"/>
                <w:sz w:val="40"/>
                <w:szCs w:val="40"/>
              </w:rPr>
            </w:pPr>
            <w:r w:rsidRPr="008914C1">
              <w:rPr>
                <w:rStyle w:val="Titart"/>
                <w:rFonts w:ascii="Comic Sans MS" w:hAnsi="Comic Sans MS" w:cs="Futura Lt BT"/>
                <w:b/>
                <w:i/>
                <w:color w:val="C00000"/>
                <w:sz w:val="40"/>
                <w:szCs w:val="40"/>
              </w:rPr>
              <w:t>L’essentiel des acquis de la FNOM</w:t>
            </w:r>
          </w:p>
          <w:p w:rsidR="00575D4A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center"/>
            </w:pPr>
            <w:r w:rsidRPr="008914C1">
              <w:rPr>
                <w:rStyle w:val="Titart"/>
                <w:rFonts w:ascii="Comic Sans MS" w:hAnsi="Comic Sans MS" w:cs="Futura Lt BT"/>
                <w:b/>
                <w:i/>
                <w:color w:val="C00000"/>
                <w:sz w:val="40"/>
                <w:szCs w:val="40"/>
              </w:rPr>
              <w:t>depuis sa création (1927)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left"/>
              <w:rPr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1950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tabs>
                <w:tab w:val="left" w:pos="280"/>
                <w:tab w:val="left" w:pos="1120"/>
              </w:tabs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Majoration des échelles de solde 3 et 4.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left"/>
              <w:rPr>
                <w:rStyle w:val="Ngras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1954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tabs>
                <w:tab w:val="left" w:pos="280"/>
                <w:tab w:val="left" w:pos="1120"/>
              </w:tabs>
              <w:spacing w:before="40" w:after="40"/>
              <w:ind w:left="181" w:hanging="181"/>
              <w:rPr>
                <w:rStyle w:val="Ngras"/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Alignement de l’échelle de solde pour les titulaires du brevet supérieur technique (BST).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left"/>
              <w:rPr>
                <w:rStyle w:val="Ngras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1962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tabs>
                <w:tab w:val="left" w:pos="280"/>
                <w:tab w:val="left" w:pos="1120"/>
              </w:tabs>
              <w:spacing w:before="40" w:after="40"/>
              <w:rPr>
                <w:rStyle w:val="Ngras"/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Augmentation indiciaire de 10 points.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left"/>
              <w:rPr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1970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tabs>
                <w:tab w:val="left" w:pos="280"/>
                <w:tab w:val="left" w:pos="1120"/>
              </w:tabs>
              <w:spacing w:before="40" w:after="40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Loi 70-2 permettant l’intégration des militaires dans la fonction publique.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1979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spacing w:before="40" w:after="40"/>
              <w:ind w:left="195" w:hanging="19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Revalorisation de la retraite des QM1 de la direct</w:t>
            </w:r>
            <w:r w:rsid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ion des ports (DP) au grade de m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aître.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1982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spacing w:before="40" w:after="40"/>
              <w:ind w:left="181" w:hanging="18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Indemnités de chômage pour les militaires rayés des contrôles sans pension.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1984</w:t>
            </w:r>
          </w:p>
        </w:tc>
        <w:tc>
          <w:tcPr>
            <w:tcW w:w="9380" w:type="dxa"/>
            <w:vAlign w:val="center"/>
          </w:tcPr>
          <w:p w:rsidR="00DD5874" w:rsidRPr="008914C1" w:rsidRDefault="00DD5874" w:rsidP="00AA07FF">
            <w:pPr>
              <w:spacing w:before="40" w:after="40"/>
              <w:ind w:left="181" w:hanging="181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Rétablissement du bénéfice de campagne pour les bâtiments outre-mer.</w:t>
            </w:r>
          </w:p>
          <w:p w:rsidR="00DD5874" w:rsidRPr="008914C1" w:rsidRDefault="00DD5874" w:rsidP="00AA07FF">
            <w:pPr>
              <w:spacing w:before="40" w:after="40"/>
              <w:ind w:left="181" w:hanging="181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Abrogation des dispositions restrictives relatives au cumul emploi-retraite.</w:t>
            </w:r>
          </w:p>
          <w:p w:rsidR="00575D4A" w:rsidRPr="008914C1" w:rsidRDefault="00DD5874" w:rsidP="00AA07FF">
            <w:pPr>
              <w:spacing w:before="40" w:after="40"/>
              <w:ind w:left="181" w:hanging="18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Temps passé en écoles préparatoires intégré au service à la date de l’engagement.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jc w:val="left"/>
              <w:rPr>
                <w:rStyle w:val="Ngras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1985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spacing w:before="40" w:after="40"/>
              <w:ind w:left="167" w:hanging="167"/>
              <w:rPr>
                <w:rStyle w:val="Ngras"/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8914C1">
              <w:rPr>
                <w:rStyle w:val="Ngras"/>
                <w:rFonts w:ascii="Comic Sans MS" w:hAnsi="Comic Sans MS"/>
                <w:sz w:val="24"/>
                <w:szCs w:val="24"/>
              </w:rPr>
              <w:t>Extension aux maîtres p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rincipaux et </w:t>
            </w:r>
            <w:r w:rsidR="008914C1">
              <w:rPr>
                <w:rStyle w:val="Ngras"/>
                <w:rFonts w:ascii="Comic Sans MS" w:hAnsi="Comic Sans MS"/>
                <w:sz w:val="24"/>
                <w:szCs w:val="24"/>
              </w:rPr>
              <w:t>m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ajors du bénéfice de la loi 70-2 (Voir année 1970).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1987</w:t>
            </w:r>
          </w:p>
        </w:tc>
        <w:tc>
          <w:tcPr>
            <w:tcW w:w="9380" w:type="dxa"/>
            <w:vAlign w:val="center"/>
          </w:tcPr>
          <w:p w:rsidR="00DA0F52" w:rsidRPr="008914C1" w:rsidRDefault="00DD5874" w:rsidP="00AA07FF">
            <w:pPr>
              <w:spacing w:before="40" w:after="40"/>
              <w:ind w:left="181" w:hanging="181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Bonifications d’ancienneté pour les militaires admis aux emplois réservés.</w:t>
            </w:r>
          </w:p>
          <w:p w:rsidR="00575D4A" w:rsidRPr="008914C1" w:rsidRDefault="00DA0F52" w:rsidP="00AA07FF">
            <w:pPr>
              <w:spacing w:before="40" w:after="40"/>
              <w:ind w:left="181" w:hanging="181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Mensualisation des retraites.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jc w:val="left"/>
              <w:rPr>
                <w:rStyle w:val="Ngras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1995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pStyle w:val="parajustCyan"/>
              <w:spacing w:before="40" w:after="40"/>
              <w:rPr>
                <w:rStyle w:val="Ngras"/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Bonification indiciaire pour les contrôleurs aériens.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pStyle w:val="parajustCyan"/>
              <w:tabs>
                <w:tab w:val="left" w:pos="280"/>
                <w:tab w:val="left" w:pos="1120"/>
              </w:tabs>
              <w:jc w:val="left"/>
              <w:rPr>
                <w:rStyle w:val="Ngras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b/>
                <w:bCs/>
                <w:color w:val="0070C0"/>
                <w:sz w:val="44"/>
                <w:szCs w:val="44"/>
              </w:rPr>
              <w:t>1996</w:t>
            </w:r>
          </w:p>
        </w:tc>
        <w:tc>
          <w:tcPr>
            <w:tcW w:w="9380" w:type="dxa"/>
            <w:vAlign w:val="center"/>
          </w:tcPr>
          <w:p w:rsidR="00575D4A" w:rsidRPr="008914C1" w:rsidRDefault="00DA0F52" w:rsidP="00AA07FF">
            <w:pPr>
              <w:pStyle w:val="parajustCyan"/>
              <w:tabs>
                <w:tab w:val="left" w:pos="280"/>
                <w:tab w:val="left" w:pos="1120"/>
              </w:tabs>
              <w:spacing w:before="40" w:after="40"/>
              <w:ind w:left="181" w:hanging="181"/>
              <w:rPr>
                <w:rStyle w:val="Ngras"/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Loi 96-1111, la pension militaire de retraite ne peut-être considérée comme avantage vieillesse à caractère viager avant l’âge de 60 ans.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1997</w:t>
            </w:r>
          </w:p>
        </w:tc>
        <w:tc>
          <w:tcPr>
            <w:tcW w:w="9380" w:type="dxa"/>
            <w:vAlign w:val="center"/>
          </w:tcPr>
          <w:p w:rsidR="00DA0F52" w:rsidRPr="008914C1" w:rsidRDefault="00DD5874" w:rsidP="00AA07FF">
            <w:pPr>
              <w:spacing w:before="40" w:after="40"/>
              <w:ind w:left="167" w:hanging="167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Création d’un échelon pour les </w:t>
            </w:r>
            <w:r w:rsidR="008914C1">
              <w:rPr>
                <w:rStyle w:val="Ngras"/>
                <w:rFonts w:ascii="Comic Sans MS" w:hAnsi="Comic Sans MS"/>
                <w:sz w:val="24"/>
                <w:szCs w:val="24"/>
              </w:rPr>
              <w:t>m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aîtres </w:t>
            </w:r>
            <w:r w:rsidR="008914C1">
              <w:rPr>
                <w:rStyle w:val="Ngras"/>
                <w:rFonts w:ascii="Comic Sans MS" w:hAnsi="Comic Sans MS"/>
                <w:sz w:val="24"/>
                <w:szCs w:val="24"/>
              </w:rPr>
              <w:t>p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rincipaux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après 25 ans de service.</w:t>
            </w:r>
          </w:p>
          <w:p w:rsidR="00575D4A" w:rsidRPr="008914C1" w:rsidRDefault="00DA0F52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Possibilité de cumul de pension militaire et allocations de chômage.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2001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Loi 2005-270, indemnisation des victimes de l’amiante : 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p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ension 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m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ilitaire d’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i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nvalidité (PMI), 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f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ond d’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i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ndemnisation des 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v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ictimes de l’</w:t>
            </w:r>
            <w:r w:rsid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a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miante (FIVA).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2005</w:t>
            </w:r>
          </w:p>
        </w:tc>
        <w:tc>
          <w:tcPr>
            <w:tcW w:w="9380" w:type="dxa"/>
            <w:vAlign w:val="center"/>
          </w:tcPr>
          <w:p w:rsidR="00DA0F52" w:rsidRPr="008914C1" w:rsidRDefault="00DD5874" w:rsidP="00AA07FF">
            <w:pPr>
              <w:spacing w:before="40" w:after="40"/>
              <w:ind w:left="167" w:hanging="167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Maintien des corps et des grades dans la hiérarchie militaire de la </w:t>
            </w:r>
            <w:r w:rsid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m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arine (statut 2005).</w:t>
            </w:r>
          </w:p>
          <w:p w:rsidR="00575D4A" w:rsidRPr="008914C1" w:rsidRDefault="00DD5874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Reconnaissance de la position « en service » pour les militaires en OPEX, en escale.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2006</w:t>
            </w:r>
          </w:p>
        </w:tc>
        <w:tc>
          <w:tcPr>
            <w:tcW w:w="9380" w:type="dxa"/>
            <w:vAlign w:val="center"/>
          </w:tcPr>
          <w:p w:rsidR="00575D4A" w:rsidRPr="008914C1" w:rsidRDefault="00DD5874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Amélioration de la grille indiciaire des militaires.</w:t>
            </w:r>
          </w:p>
        </w:tc>
      </w:tr>
      <w:tr w:rsidR="00575D4A" w:rsidTr="008914C1">
        <w:tc>
          <w:tcPr>
            <w:tcW w:w="1195" w:type="dxa"/>
            <w:vAlign w:val="center"/>
          </w:tcPr>
          <w:p w:rsidR="00575D4A" w:rsidRPr="005064B9" w:rsidRDefault="00575D4A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 w:rsidRPr="005064B9"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2010</w:t>
            </w:r>
          </w:p>
        </w:tc>
        <w:tc>
          <w:tcPr>
            <w:tcW w:w="9380" w:type="dxa"/>
            <w:vAlign w:val="center"/>
          </w:tcPr>
          <w:p w:rsidR="00DA0F52" w:rsidRPr="008914C1" w:rsidRDefault="00DD5874" w:rsidP="00AA07FF">
            <w:pPr>
              <w:spacing w:before="40" w:after="40"/>
              <w:ind w:left="167" w:hanging="167"/>
              <w:jc w:val="both"/>
              <w:rPr>
                <w:rStyle w:val="Ngras"/>
                <w:rFonts w:ascii="Comic Sans MS" w:hAnsi="Comic Sans MS" w:cs="Futura Md BT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Attribution du bénéfice de la campagne double aux anciens combattants d’</w:t>
            </w:r>
            <w:r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AFN </w:t>
            </w:r>
            <w:r w:rsidR="00575D4A" w:rsidRPr="008914C1">
              <w:rPr>
                <w:rStyle w:val="Ngras"/>
                <w:rFonts w:ascii="Comic Sans MS" w:hAnsi="Comic Sans MS" w:cs="Futura Md BT"/>
                <w:sz w:val="24"/>
                <w:szCs w:val="24"/>
              </w:rPr>
              <w:t>(initiative FNOM).</w:t>
            </w:r>
          </w:p>
          <w:p w:rsidR="00575D4A" w:rsidRPr="008914C1" w:rsidRDefault="00DD5874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8914C1">
              <w:rPr>
                <w:rStyle w:val="Ngras"/>
                <w:rFonts w:ascii="Comic Sans MS" w:hAnsi="Comic Sans MS"/>
                <w:sz w:val="24"/>
                <w:szCs w:val="24"/>
              </w:rPr>
              <w:t xml:space="preserve">- </w:t>
            </w:r>
            <w:r w:rsidR="00575D4A" w:rsidRPr="008914C1">
              <w:rPr>
                <w:rStyle w:val="Ngras"/>
                <w:rFonts w:ascii="Comic Sans MS" w:hAnsi="Comic Sans MS"/>
                <w:sz w:val="24"/>
                <w:szCs w:val="24"/>
              </w:rPr>
              <w:t>Loi 2010-2 relative à la reconnaissance et à l’indemnisation des victimes des essais nucléaires français.</w:t>
            </w:r>
          </w:p>
        </w:tc>
      </w:tr>
      <w:tr w:rsidR="008914C1" w:rsidTr="008914C1">
        <w:tc>
          <w:tcPr>
            <w:tcW w:w="1195" w:type="dxa"/>
            <w:vAlign w:val="center"/>
          </w:tcPr>
          <w:p w:rsidR="008914C1" w:rsidRPr="005064B9" w:rsidRDefault="008914C1" w:rsidP="00DD5874">
            <w:pP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</w:pPr>
            <w:r>
              <w:rPr>
                <w:rStyle w:val="Ngras"/>
                <w:rFonts w:cs="Futura Md BT"/>
                <w:b/>
                <w:bCs/>
                <w:color w:val="0070C0"/>
                <w:sz w:val="44"/>
                <w:szCs w:val="44"/>
              </w:rPr>
              <w:t>2014</w:t>
            </w:r>
          </w:p>
        </w:tc>
        <w:tc>
          <w:tcPr>
            <w:tcW w:w="9380" w:type="dxa"/>
            <w:vAlign w:val="center"/>
          </w:tcPr>
          <w:p w:rsidR="008914C1" w:rsidRPr="00AA07FF" w:rsidRDefault="008914C1" w:rsidP="00AA07FF">
            <w:pPr>
              <w:spacing w:before="40" w:after="40"/>
              <w:ind w:left="167" w:hanging="1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 xml:space="preserve">- </w:t>
            </w:r>
            <w:r w:rsidR="00AA07FF" w:rsidRPr="00AA07FF">
              <w:rPr>
                <w:rStyle w:val="Ngras"/>
                <w:rFonts w:ascii="Comic Sans MS" w:hAnsi="Comic Sans MS" w:cs="Futura Md BT"/>
                <w:sz w:val="24"/>
                <w:szCs w:val="24"/>
              </w:rPr>
              <w:t>Le 17 avril, signature avec le chef d’état major de la marine, d’une convention formalisant les relations entre la marine nationale et la FNOM.</w:t>
            </w:r>
          </w:p>
        </w:tc>
      </w:tr>
    </w:tbl>
    <w:p w:rsidR="00C57EE2" w:rsidRDefault="00C57EE2" w:rsidP="00DA0F52"/>
    <w:sectPr w:rsidR="00C57EE2" w:rsidSect="00DA0F52">
      <w:pgSz w:w="11907" w:h="16839" w:code="9"/>
      <w:pgMar w:top="568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d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Lt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D4A"/>
    <w:rsid w:val="00055B95"/>
    <w:rsid w:val="000C5DBE"/>
    <w:rsid w:val="0010248D"/>
    <w:rsid w:val="002F7E59"/>
    <w:rsid w:val="00357FE5"/>
    <w:rsid w:val="003B1470"/>
    <w:rsid w:val="00575D4A"/>
    <w:rsid w:val="00720011"/>
    <w:rsid w:val="007C3092"/>
    <w:rsid w:val="008914C1"/>
    <w:rsid w:val="00AA07FF"/>
    <w:rsid w:val="00AA730E"/>
    <w:rsid w:val="00C57EE2"/>
    <w:rsid w:val="00DA0F52"/>
    <w:rsid w:val="00DD5874"/>
    <w:rsid w:val="00F7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4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justCyan">
    <w:name w:val="para_just_Cyan"/>
    <w:basedOn w:val="Normal"/>
    <w:uiPriority w:val="99"/>
    <w:rsid w:val="00575D4A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utura Md BT" w:hAnsi="Futura Md BT" w:cs="Futura Md BT"/>
      <w:color w:val="009DE0"/>
      <w:sz w:val="18"/>
      <w:szCs w:val="18"/>
    </w:rPr>
  </w:style>
  <w:style w:type="character" w:customStyle="1" w:styleId="Titart">
    <w:name w:val="Tit_art"/>
    <w:uiPriority w:val="99"/>
    <w:rsid w:val="00575D4A"/>
    <w:rPr>
      <w:rFonts w:ascii="Futura Lt BT" w:hAnsi="Futura Lt BT"/>
      <w:color w:val="000000"/>
      <w:spacing w:val="0"/>
      <w:sz w:val="64"/>
      <w:lang w:val="fr-FR"/>
    </w:rPr>
  </w:style>
  <w:style w:type="character" w:customStyle="1" w:styleId="Ngras">
    <w:name w:val="N_gras"/>
    <w:uiPriority w:val="99"/>
    <w:rsid w:val="00575D4A"/>
    <w:rPr>
      <w:rFonts w:ascii="Futura Md BT" w:hAnsi="Futura Md BT"/>
      <w:color w:val="000000"/>
      <w:sz w:val="18"/>
      <w:lang w:val="fr-FR"/>
    </w:rPr>
  </w:style>
  <w:style w:type="table" w:styleId="Grilledutableau">
    <w:name w:val="Table Grid"/>
    <w:basedOn w:val="TableauNormal"/>
    <w:uiPriority w:val="59"/>
    <w:rsid w:val="00575D4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5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Domi83</dc:creator>
  <cp:lastModifiedBy> </cp:lastModifiedBy>
  <cp:revision>9</cp:revision>
  <cp:lastPrinted>2014-08-21T08:50:00Z</cp:lastPrinted>
  <dcterms:created xsi:type="dcterms:W3CDTF">2012-08-29T07:24:00Z</dcterms:created>
  <dcterms:modified xsi:type="dcterms:W3CDTF">2014-08-21T09:05:00Z</dcterms:modified>
</cp:coreProperties>
</file>